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Data Sheet #5</w:t>
        <w:br w:type="textWrapping"/>
        <w:t xml:space="preserve">Lauren Bollinger</w:t>
        <w:br w:type="textWrapping"/>
        <w:t xml:space="preserve">Mrs. Trent</w:t>
        <w:br w:type="textWrapping"/>
        <w:t xml:space="preserve">Project: Backpacks for underprivileged kids</w:t>
        <w:br w:type="textWrapping"/>
      </w:r>
      <w:r w:rsidDel="00000000" w:rsidR="00000000" w:rsidRPr="00000000">
        <w:rPr>
          <w:rFonts w:ascii="Times New Roman" w:cs="Times New Roman" w:eastAsia="Times New Roman" w:hAnsi="Times New Roman"/>
          <w:b w:val="1"/>
          <w:sz w:val="24"/>
          <w:szCs w:val="24"/>
          <w:rtl w:val="0"/>
        </w:rPr>
        <w:t xml:space="preserve">Driving Question:</w:t>
      </w:r>
      <w:r w:rsidDel="00000000" w:rsidR="00000000" w:rsidRPr="00000000">
        <w:rPr>
          <w:rFonts w:ascii="Times New Roman" w:cs="Times New Roman" w:eastAsia="Times New Roman" w:hAnsi="Times New Roman"/>
          <w:sz w:val="24"/>
          <w:szCs w:val="24"/>
          <w:rtl w:val="0"/>
        </w:rPr>
        <w:t xml:space="preserve"> What do low income children need in order to be academically successful?</w:t>
        <w:br w:type="textWrapping"/>
      </w:r>
      <w:r w:rsidDel="00000000" w:rsidR="00000000" w:rsidRPr="00000000">
        <w:rPr>
          <w:rFonts w:ascii="Times New Roman" w:cs="Times New Roman" w:eastAsia="Times New Roman" w:hAnsi="Times New Roman"/>
          <w:b w:val="1"/>
          <w:sz w:val="24"/>
          <w:szCs w:val="24"/>
          <w:rtl w:val="0"/>
        </w:rPr>
        <w:t xml:space="preserve">Source:</w:t>
      </w:r>
      <w:r w:rsidDel="00000000" w:rsidR="00000000" w:rsidRPr="00000000">
        <w:rPr>
          <w:rFonts w:ascii="Times New Roman" w:cs="Times New Roman" w:eastAsia="Times New Roman" w:hAnsi="Times New Roman"/>
          <w:sz w:val="24"/>
          <w:szCs w:val="24"/>
          <w:rtl w:val="0"/>
        </w:rPr>
        <w:br w:type="textWrapping"/>
        <w:t xml:space="preserve">Brown, Christopher P., and Hali Pickard. "Balancing the School Readiness Equation in Early </w:t>
        <w:tab/>
        <w:tab/>
        <w:t xml:space="preserve">Learning Environments."</w:t>
      </w:r>
      <w:r w:rsidDel="00000000" w:rsidR="00000000" w:rsidRPr="00000000">
        <w:rPr>
          <w:rFonts w:ascii="Times New Roman" w:cs="Times New Roman" w:eastAsia="Times New Roman" w:hAnsi="Times New Roman"/>
          <w:i w:val="1"/>
          <w:sz w:val="24"/>
          <w:szCs w:val="24"/>
          <w:rtl w:val="0"/>
        </w:rPr>
        <w:t xml:space="preserve"> Childhood Education</w:t>
      </w:r>
      <w:r w:rsidDel="00000000" w:rsidR="00000000" w:rsidRPr="00000000">
        <w:rPr>
          <w:rFonts w:ascii="Times New Roman" w:cs="Times New Roman" w:eastAsia="Times New Roman" w:hAnsi="Times New Roman"/>
          <w:sz w:val="24"/>
          <w:szCs w:val="24"/>
          <w:rtl w:val="0"/>
        </w:rPr>
        <w:t xml:space="preserve"> 6(2014):418. </w:t>
      </w:r>
      <w:r w:rsidDel="00000000" w:rsidR="00000000" w:rsidRPr="00000000">
        <w:rPr>
          <w:rFonts w:ascii="Times New Roman" w:cs="Times New Roman" w:eastAsia="Times New Roman" w:hAnsi="Times New Roman"/>
          <w:i w:val="1"/>
          <w:sz w:val="24"/>
          <w:szCs w:val="24"/>
          <w:rtl w:val="0"/>
        </w:rPr>
        <w:t xml:space="preserve">eLibrary</w:t>
      </w:r>
      <w:r w:rsidDel="00000000" w:rsidR="00000000" w:rsidRPr="00000000">
        <w:rPr>
          <w:rFonts w:ascii="Times New Roman" w:cs="Times New Roman" w:eastAsia="Times New Roman" w:hAnsi="Times New Roman"/>
          <w:sz w:val="24"/>
          <w:szCs w:val="24"/>
          <w:rtl w:val="0"/>
        </w:rPr>
        <w:t xml:space="preserve">. Web. 18 Mar. </w:t>
        <w:tab/>
        <w:tab/>
        <w:t xml:space="preserve">2015.</w:t>
        <w:br w:type="textWrapping"/>
      </w:r>
      <w:r w:rsidDel="00000000" w:rsidR="00000000" w:rsidRPr="00000000">
        <w:rPr>
          <w:rFonts w:ascii="Times New Roman" w:cs="Times New Roman" w:eastAsia="Times New Roman" w:hAnsi="Times New Roman"/>
          <w:b w:val="1"/>
          <w:sz w:val="24"/>
          <w:szCs w:val="24"/>
          <w:rtl w:val="0"/>
        </w:rPr>
        <w:t xml:space="preserve">Data: </w:t>
        <w:br w:type="textWrapping"/>
      </w:r>
      <w:r w:rsidDel="00000000" w:rsidR="00000000" w:rsidRPr="00000000">
        <w:rPr>
          <w:rFonts w:ascii="Times New Roman" w:cs="Times New Roman" w:eastAsia="Times New Roman" w:hAnsi="Times New Roman"/>
          <w:sz w:val="24"/>
          <w:szCs w:val="24"/>
          <w:rtl w:val="0"/>
        </w:rPr>
        <w:t xml:space="preserve">"Thus, these curricula not only appear to take the instructional decision-making process out of the hands of classroom teachers, they also promote an image of the ready child that may not align with educators' goals for the children with whom they work" (1).</w:t>
        <w:br w:type="textWrapping"/>
        <w:t xml:space="preserve">"This article emerged from a case study that investigated how three pre-k teachers in a large urban school district prepared their students for school success in a high-stakes education system through practices that align with what is known about how young children develop and learn" (2).</w:t>
        <w:br w:type="textWrapping"/>
        <w:t xml:space="preserve">"Policymakers identified these markers of risk to be: an inability to speak or comprehend the English language, low-income status, homelessness, or placement in the foster care system" (3).</w:t>
        <w:br w:type="textWrapping"/>
        <w:t xml:space="preserve">"In order to help children be ready for school, these teachers recognized they had to create an environment where children and their families knew they were valued members of the learning community" (4).</w:t>
        <w:br w:type="textWrapping"/>
        <w:t xml:space="preserve">"...children gain competence and resiliency through memorable learning experiences that they can draw on as they tackle the academic challenges that await them in the later grades" (5). </w:t>
        <w:br w:type="textWrapping"/>
        <w:t xml:space="preserve">"Meiseis' (1999) work shows that there are multiple ways to define what it means for children to be ready for school" (8).</w:t>
        <w:br w:type="textWrapping"/>
      </w:r>
      <w:r w:rsidDel="00000000" w:rsidR="00000000" w:rsidRPr="00000000">
        <w:rPr>
          <w:rFonts w:ascii="Times New Roman" w:cs="Times New Roman" w:eastAsia="Times New Roman" w:hAnsi="Times New Roman"/>
          <w:b w:val="1"/>
          <w:sz w:val="24"/>
          <w:szCs w:val="24"/>
          <w:rtl w:val="0"/>
        </w:rPr>
        <w:t xml:space="preserve">Significance of Data:</w:t>
        <w:br w:type="textWrapping"/>
      </w:r>
      <w:r w:rsidDel="00000000" w:rsidR="00000000" w:rsidRPr="00000000">
        <w:rPr>
          <w:rFonts w:ascii="Times New Roman" w:cs="Times New Roman" w:eastAsia="Times New Roman" w:hAnsi="Times New Roman"/>
          <w:sz w:val="24"/>
          <w:szCs w:val="24"/>
          <w:rtl w:val="0"/>
        </w:rPr>
        <w:tab/>
        <w:t xml:space="preserve">The article was a synopsis of a study done on what is needed for kids to be fully prepared for kindergarten when they leave pre-k. It focused on how three teachers tailored what they had to teach to the needs of their students. The article answered half of my research question in that it explained that there are many factors that need to be considered in order to be academically successful. Some of these factors include the way a child learns, whether or not they can speak proficiently when they enter pre-k and in some cases it also has to do with if the child comes from a low-income family. This article did help with my CBSL in that it backed my idea that having provided learning materials such as pencils, markers, etc. can help both the teachers and parents on helping the child rather than focusing on making sure they have the materials needed. </w:t>
        <w:br w:type="textWrapping"/>
      </w:r>
      <w:r w:rsidDel="00000000" w:rsidR="00000000" w:rsidRPr="00000000">
        <w:rPr>
          <w:rFonts w:ascii="Times New Roman" w:cs="Times New Roman" w:eastAsia="Times New Roman" w:hAnsi="Times New Roman"/>
          <w:b w:val="1"/>
          <w:sz w:val="24"/>
          <w:szCs w:val="24"/>
          <w:rtl w:val="0"/>
        </w:rPr>
        <w:t xml:space="preserve">CBSL Goal: </w:t>
      </w:r>
      <w:r w:rsidDel="00000000" w:rsidR="00000000" w:rsidRPr="00000000">
        <w:rPr>
          <w:rFonts w:ascii="Times New Roman" w:cs="Times New Roman" w:eastAsia="Times New Roman" w:hAnsi="Times New Roman"/>
          <w:sz w:val="24"/>
          <w:szCs w:val="24"/>
          <w:rtl w:val="0"/>
        </w:rPr>
        <w:t xml:space="preserve">To provide the necessary school supplies for underprivileged kids at Riebli Elementary School. </w:t>
        <w:br w:type="textWrapping"/>
        <w:br w:type="textWrapping"/>
        <w:br w:type="textWrapping"/>
        <w:br w:type="textWrapping"/>
        <w:br w:type="textWrapping"/>
        <w:br w:type="textWrapping"/>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